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203739" w14:textId="33F06331" w:rsidR="00DF3660" w:rsidRPr="00E625E4" w:rsidRDefault="00DF3660" w:rsidP="00E625E4">
      <w:pPr>
        <w:spacing w:after="0" w:line="240" w:lineRule="auto"/>
        <w:jc w:val="both"/>
        <w:rPr>
          <w:rFonts w:ascii="Times New Roman" w:eastAsia="Times New Roman" w:hAnsi="Times New Roman" w:cs="Times New Roman"/>
          <w:b/>
          <w:bCs/>
          <w:color w:val="000000"/>
          <w:sz w:val="24"/>
          <w:szCs w:val="24"/>
          <w:lang w:eastAsia="es-CO"/>
        </w:rPr>
      </w:pPr>
      <w:bookmarkStart w:id="0" w:name="_GoBack"/>
      <w:bookmarkEnd w:id="0"/>
      <w:r w:rsidRPr="00DF3660">
        <w:rPr>
          <w:rFonts w:ascii="Times New Roman" w:eastAsia="Times New Roman" w:hAnsi="Times New Roman" w:cs="Times New Roman"/>
          <w:b/>
          <w:bCs/>
          <w:color w:val="000000"/>
          <w:sz w:val="24"/>
          <w:szCs w:val="24"/>
          <w:lang w:eastAsia="es-CO"/>
        </w:rPr>
        <w:t>21. ¿Existen problemáticas específicas asociadas a condiciones laborales o económicas</w:t>
      </w:r>
      <w:r w:rsidRPr="00E625E4">
        <w:rPr>
          <w:rFonts w:ascii="Times New Roman" w:eastAsia="Times New Roman" w:hAnsi="Times New Roman" w:cs="Times New Roman"/>
          <w:b/>
          <w:bCs/>
          <w:color w:val="000000"/>
          <w:sz w:val="24"/>
          <w:szCs w:val="24"/>
          <w:lang w:eastAsia="es-CO"/>
        </w:rPr>
        <w:t>?</w:t>
      </w:r>
    </w:p>
    <w:p w14:paraId="281A0E6B" w14:textId="0AA7DA85" w:rsidR="00DF3660" w:rsidRPr="00EC21F3" w:rsidRDefault="00DF3660" w:rsidP="00DF3660">
      <w:pPr>
        <w:spacing w:after="0" w:line="240" w:lineRule="auto"/>
        <w:rPr>
          <w:rFonts w:ascii="Arial" w:eastAsia="Times New Roman" w:hAnsi="Arial" w:cs="Arial"/>
          <w:color w:val="000000"/>
          <w:lang w:eastAsia="es-CO"/>
        </w:rPr>
      </w:pPr>
    </w:p>
    <w:p w14:paraId="0CAA9236" w14:textId="77777777" w:rsidR="00E625E4" w:rsidRPr="00E625E4" w:rsidRDefault="00E625E4" w:rsidP="00E625E4">
      <w:pPr>
        <w:pStyle w:val="NormalWeb"/>
        <w:jc w:val="both"/>
        <w:rPr>
          <w:rFonts w:ascii="Arial" w:hAnsi="Arial" w:cs="Arial"/>
          <w:sz w:val="22"/>
          <w:szCs w:val="22"/>
        </w:rPr>
      </w:pPr>
      <w:r w:rsidRPr="00E625E4">
        <w:rPr>
          <w:rFonts w:ascii="Arial" w:hAnsi="Arial" w:cs="Arial"/>
          <w:sz w:val="22"/>
          <w:szCs w:val="22"/>
        </w:rPr>
        <w:t>En el marco de las acciones del modelo MAS Bienestar, se han identificado diversas problemáticas que afectan a la población trabajadora informal, así como a niños, niñas y adolescentes vinculados o en acompañamiento de actividades laborales.</w:t>
      </w:r>
    </w:p>
    <w:p w14:paraId="06B7CDE7" w14:textId="77777777" w:rsidR="00E625E4" w:rsidRPr="00E625E4" w:rsidRDefault="00E625E4" w:rsidP="00E625E4">
      <w:pPr>
        <w:pStyle w:val="NormalWeb"/>
        <w:jc w:val="both"/>
        <w:rPr>
          <w:rFonts w:ascii="Arial" w:hAnsi="Arial" w:cs="Arial"/>
          <w:sz w:val="22"/>
          <w:szCs w:val="22"/>
        </w:rPr>
      </w:pPr>
      <w:r w:rsidRPr="00E625E4">
        <w:rPr>
          <w:rFonts w:ascii="Arial" w:hAnsi="Arial" w:cs="Arial"/>
          <w:sz w:val="22"/>
          <w:szCs w:val="22"/>
        </w:rPr>
        <w:t>A través de las acciones de bienestar orientadas a la caracterización y seguimiento de unidades de trabajo informal, se ha desarrollado el proceso de identificación de condiciones de salud y trabajo de esta población, incluyendo la detección de alertas psicosociales. Para el periodo comprendido entre 2023 y 2025, se identificaron 9 personas con factores de riesgo para trastornos mentales, 461 trabajadores con estrés laboral, 11 con sueño no reparador y 6 casos de violencia asociada a la identidad de género y orientación sexual.</w:t>
      </w:r>
    </w:p>
    <w:p w14:paraId="5462D7CE" w14:textId="77777777" w:rsidR="00E625E4" w:rsidRPr="00E625E4" w:rsidRDefault="00E625E4" w:rsidP="00E625E4">
      <w:pPr>
        <w:pStyle w:val="NormalWeb"/>
        <w:jc w:val="both"/>
        <w:rPr>
          <w:rFonts w:ascii="Arial" w:hAnsi="Arial" w:cs="Arial"/>
          <w:sz w:val="22"/>
          <w:szCs w:val="22"/>
        </w:rPr>
      </w:pPr>
      <w:r w:rsidRPr="00E625E4">
        <w:rPr>
          <w:rFonts w:ascii="Arial" w:hAnsi="Arial" w:cs="Arial"/>
          <w:sz w:val="22"/>
          <w:szCs w:val="22"/>
        </w:rPr>
        <w:t>En respuesta a estos hallazgos, se implementaron acciones promocionales en el entorno laboral, tales como tamizajes en salud mental para la identificación de factores de riesgo, procesos de educación transformadora enfocados en el cuidado de la salud mental y estrategias de canalización a servicios de salud, de acuerdo con las necesidades identificadas en las diferentes rutas de atención.</w:t>
      </w:r>
    </w:p>
    <w:p w14:paraId="6EFDDF36" w14:textId="77777777" w:rsidR="00E625E4" w:rsidRPr="00E625E4" w:rsidRDefault="00E625E4" w:rsidP="00E625E4">
      <w:pPr>
        <w:pStyle w:val="NormalWeb"/>
        <w:jc w:val="both"/>
        <w:rPr>
          <w:rFonts w:ascii="Arial" w:hAnsi="Arial" w:cs="Arial"/>
          <w:sz w:val="22"/>
          <w:szCs w:val="22"/>
        </w:rPr>
      </w:pPr>
      <w:r w:rsidRPr="00E625E4">
        <w:rPr>
          <w:rFonts w:ascii="Arial" w:hAnsi="Arial" w:cs="Arial"/>
          <w:sz w:val="22"/>
          <w:szCs w:val="22"/>
        </w:rPr>
        <w:t>Adicionalmente, se realizó el abordaje de 970 unidades de trabajo informal, beneficiando a 2050 trabajadores, quienes recibieron acompañamiento desde el perfil de psicología. Este acompañamiento tuvo como objetivo fortalecer el bienestar físico, emocional y psicosocial mediante acciones participativas de promoción de la salud mental, el fomento de prácticas de autocuidado y el mejoramiento del entorno laboral. Estas intervenciones se desarrollaron a través de actividades lúdico-pedagógicas incluidas en planes de cuidado, orientadas al fortalecimiento de factores protectores individuales y colectivos.</w:t>
      </w:r>
    </w:p>
    <w:p w14:paraId="1C69119B" w14:textId="08245D55" w:rsidR="00E625E4" w:rsidRPr="00E625E4" w:rsidRDefault="00E625E4" w:rsidP="00E625E4">
      <w:pPr>
        <w:pStyle w:val="NormalWeb"/>
        <w:jc w:val="both"/>
        <w:rPr>
          <w:rFonts w:ascii="Arial" w:hAnsi="Arial" w:cs="Arial"/>
          <w:sz w:val="22"/>
          <w:szCs w:val="22"/>
        </w:rPr>
      </w:pPr>
      <w:r w:rsidRPr="00E625E4">
        <w:rPr>
          <w:rFonts w:ascii="Arial" w:hAnsi="Arial" w:cs="Arial"/>
          <w:sz w:val="22"/>
          <w:szCs w:val="22"/>
        </w:rPr>
        <w:t xml:space="preserve">Por otra parte, desde la acción integrada de caracterización de niños, niñas y adolescentes trabajadores, se identificaron 365 </w:t>
      </w:r>
      <w:r>
        <w:rPr>
          <w:rFonts w:ascii="Arial" w:hAnsi="Arial" w:cs="Arial"/>
          <w:sz w:val="22"/>
          <w:szCs w:val="22"/>
        </w:rPr>
        <w:t>NNA</w:t>
      </w:r>
      <w:r w:rsidRPr="00E625E4">
        <w:rPr>
          <w:rFonts w:ascii="Arial" w:hAnsi="Arial" w:cs="Arial"/>
          <w:sz w:val="22"/>
          <w:szCs w:val="22"/>
        </w:rPr>
        <w:t xml:space="preserve"> vinculados a actividades laborales o en acompañamiento de estas. En este grupo se evidenciaron factores de riesgo relacionados con la ausencia de actividades de tiempo libre, procesos de desescolarización y pautas de crianza inadecuadas, entre otros. En respuesta, se diseñaron e implementaron planes de trabajo concertados con las familias, abordando temáticas como proyecto de vida, pautas de crianza y comunicación asertiva, con el propósito de contribuir al proceso de desvinculación laboral infantil.</w:t>
      </w:r>
    </w:p>
    <w:p w14:paraId="05D52BDF" w14:textId="353717D6" w:rsidR="00E625E4" w:rsidRPr="00E625E4" w:rsidRDefault="00E625E4" w:rsidP="00E625E4">
      <w:pPr>
        <w:pStyle w:val="NormalWeb"/>
        <w:jc w:val="both"/>
        <w:rPr>
          <w:rFonts w:ascii="Arial" w:hAnsi="Arial" w:cs="Arial"/>
          <w:sz w:val="22"/>
          <w:szCs w:val="22"/>
        </w:rPr>
      </w:pPr>
      <w:r w:rsidRPr="00E625E4">
        <w:rPr>
          <w:rFonts w:ascii="Arial" w:hAnsi="Arial" w:cs="Arial"/>
          <w:sz w:val="22"/>
          <w:szCs w:val="22"/>
        </w:rPr>
        <w:t>Finalmente, en el marco de la estrategia de bienestar “Conexión Nocturna”, se realizó el abordaje de 41 establecimientos relacionados con expendio de bebidas alcohólicas. Esta estrategia tiene como objetivo fortalecer el bienestar integral, la salud mental y la prevención de riesgos ocupacionales y de salud pública en trabajadores del sector nocturno. Durante su implementación, se identificaron factores de riesgo asociados al estrés laboral</w:t>
      </w:r>
      <w:r>
        <w:rPr>
          <w:rFonts w:ascii="Arial" w:hAnsi="Arial" w:cs="Arial"/>
          <w:sz w:val="22"/>
          <w:szCs w:val="22"/>
        </w:rPr>
        <w:t xml:space="preserve"> y riesgo </w:t>
      </w:r>
      <w:r w:rsidRPr="00E625E4">
        <w:rPr>
          <w:rFonts w:ascii="Arial" w:hAnsi="Arial" w:cs="Arial"/>
          <w:sz w:val="22"/>
          <w:szCs w:val="22"/>
        </w:rPr>
        <w:t>de violencia (física, psicológica, sexual, económica y negligencia), lo que orienta la necesidad de continuar fortaleciendo entornos laborales seguros, responsables y protectores.</w:t>
      </w:r>
    </w:p>
    <w:p w14:paraId="5ACC0BED" w14:textId="77777777" w:rsidR="00DF3660" w:rsidRPr="00EC21F3" w:rsidRDefault="00DF3660">
      <w:pPr>
        <w:rPr>
          <w:rFonts w:ascii="Arial" w:hAnsi="Arial" w:cs="Arial"/>
        </w:rPr>
      </w:pPr>
    </w:p>
    <w:sectPr w:rsidR="00DF3660" w:rsidRPr="00EC21F3">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3660"/>
    <w:rsid w:val="005B1DF7"/>
    <w:rsid w:val="00A12B7C"/>
    <w:rsid w:val="00D1527E"/>
    <w:rsid w:val="00DF3660"/>
    <w:rsid w:val="00E625E4"/>
    <w:rsid w:val="00EC21F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203B1F"/>
  <w15:chartTrackingRefBased/>
  <w15:docId w15:val="{E34B64EB-7F53-40ED-BFE4-12014AEAE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E625E4"/>
    <w:pPr>
      <w:spacing w:before="100" w:beforeAutospacing="1" w:after="100" w:afterAutospacing="1" w:line="240" w:lineRule="auto"/>
    </w:pPr>
    <w:rPr>
      <w:rFonts w:ascii="Times New Roman" w:eastAsia="Times New Roman" w:hAnsi="Times New Roman" w:cs="Times New Roman"/>
      <w:sz w:val="24"/>
      <w:szCs w:val="24"/>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5283325">
      <w:bodyDiv w:val="1"/>
      <w:marLeft w:val="0"/>
      <w:marRight w:val="0"/>
      <w:marTop w:val="0"/>
      <w:marBottom w:val="0"/>
      <w:divBdr>
        <w:top w:val="none" w:sz="0" w:space="0" w:color="auto"/>
        <w:left w:val="none" w:sz="0" w:space="0" w:color="auto"/>
        <w:bottom w:val="none" w:sz="0" w:space="0" w:color="auto"/>
        <w:right w:val="none" w:sz="0" w:space="0" w:color="auto"/>
      </w:divBdr>
    </w:div>
    <w:div w:id="1049260579">
      <w:bodyDiv w:val="1"/>
      <w:marLeft w:val="0"/>
      <w:marRight w:val="0"/>
      <w:marTop w:val="0"/>
      <w:marBottom w:val="0"/>
      <w:divBdr>
        <w:top w:val="none" w:sz="0" w:space="0" w:color="auto"/>
        <w:left w:val="none" w:sz="0" w:space="0" w:color="auto"/>
        <w:bottom w:val="none" w:sz="0" w:space="0" w:color="auto"/>
        <w:right w:val="none" w:sz="0" w:space="0" w:color="auto"/>
      </w:divBdr>
    </w:div>
    <w:div w:id="1080522044">
      <w:bodyDiv w:val="1"/>
      <w:marLeft w:val="0"/>
      <w:marRight w:val="0"/>
      <w:marTop w:val="0"/>
      <w:marBottom w:val="0"/>
      <w:divBdr>
        <w:top w:val="none" w:sz="0" w:space="0" w:color="auto"/>
        <w:left w:val="none" w:sz="0" w:space="0" w:color="auto"/>
        <w:bottom w:val="none" w:sz="0" w:space="0" w:color="auto"/>
        <w:right w:val="none" w:sz="0" w:space="0" w:color="auto"/>
      </w:divBdr>
    </w:div>
    <w:div w:id="1154954812">
      <w:bodyDiv w:val="1"/>
      <w:marLeft w:val="0"/>
      <w:marRight w:val="0"/>
      <w:marTop w:val="0"/>
      <w:marBottom w:val="0"/>
      <w:divBdr>
        <w:top w:val="none" w:sz="0" w:space="0" w:color="auto"/>
        <w:left w:val="none" w:sz="0" w:space="0" w:color="auto"/>
        <w:bottom w:val="none" w:sz="0" w:space="0" w:color="auto"/>
        <w:right w:val="none" w:sz="0" w:space="0" w:color="auto"/>
      </w:divBdr>
    </w:div>
    <w:div w:id="1465272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E1E53B662641C24289E3BC0FC531FAF9" ma:contentTypeVersion="20" ma:contentTypeDescription="Crear nuevo documento." ma:contentTypeScope="" ma:versionID="ebc86fa453f4939f7a0e1d3648738bc2">
  <xsd:schema xmlns:xsd="http://www.w3.org/2001/XMLSchema" xmlns:xs="http://www.w3.org/2001/XMLSchema" xmlns:p="http://schemas.microsoft.com/office/2006/metadata/properties" xmlns:ns2="0dcfc175-cffb-489f-a5f5-fa812b665c51" xmlns:ns3="4e613a32-d978-4127-bfcc-dbab85fb6e36" targetNamespace="http://schemas.microsoft.com/office/2006/metadata/properties" ma:root="true" ma:fieldsID="f5736cbf8080b64647acaddc5c5442cc" ns2:_="" ns3:_="">
    <xsd:import namespace="0dcfc175-cffb-489f-a5f5-fa812b665c51"/>
    <xsd:import namespace="4e613a32-d978-4127-bfcc-dbab85fb6e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2:MediaServiceSearchProperties" minOccurs="0"/>
                <xsd:element ref="ns2:MediaServiceObjectDetectorVersion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cfc175-cffb-489f-a5f5-fa812b665c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00797eea-8358-47d8-b969-3b387de3c5f5"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e613a32-d978-4127-bfcc-dbab85fb6e36"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b582488f-d407-4c41-8928-07d47a1dcb79}" ma:internalName="TaxCatchAll" ma:showField="CatchAllData" ma:web="4e613a32-d978-4127-bfcc-dbab85fb6e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dcfc175-cffb-489f-a5f5-fa812b665c51">
      <Terms xmlns="http://schemas.microsoft.com/office/infopath/2007/PartnerControls"/>
    </lcf76f155ced4ddcb4097134ff3c332f>
    <TaxCatchAll xmlns="4e613a32-d978-4127-bfcc-dbab85fb6e36" xsi:nil="true"/>
  </documentManagement>
</p:properties>
</file>

<file path=customXml/itemProps1.xml><?xml version="1.0" encoding="utf-8"?>
<ds:datastoreItem xmlns:ds="http://schemas.openxmlformats.org/officeDocument/2006/customXml" ds:itemID="{843EB60B-76BC-4FA1-A54A-D136D8B2DDE1}"/>
</file>

<file path=customXml/itemProps2.xml><?xml version="1.0" encoding="utf-8"?>
<ds:datastoreItem xmlns:ds="http://schemas.openxmlformats.org/officeDocument/2006/customXml" ds:itemID="{68BA0270-0A57-4405-B925-A54780B3BA62}"/>
</file>

<file path=customXml/itemProps3.xml><?xml version="1.0" encoding="utf-8"?>
<ds:datastoreItem xmlns:ds="http://schemas.openxmlformats.org/officeDocument/2006/customXml" ds:itemID="{360418D3-3124-4337-BB1D-624DCCC78A46}"/>
</file>

<file path=docProps/app.xml><?xml version="1.0" encoding="utf-8"?>
<Properties xmlns="http://schemas.openxmlformats.org/officeDocument/2006/extended-properties" xmlns:vt="http://schemas.openxmlformats.org/officeDocument/2006/docPropsVTypes">
  <Template>Normal</Template>
  <TotalTime>0</TotalTime>
  <Pages>1</Pages>
  <Words>482</Words>
  <Characters>2654</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rosember martinez</dc:creator>
  <cp:keywords/>
  <dc:description/>
  <cp:lastModifiedBy>Erica Licet, Ospina Ortíz</cp:lastModifiedBy>
  <cp:revision>2</cp:revision>
  <dcterms:created xsi:type="dcterms:W3CDTF">2026-04-17T20:39:00Z</dcterms:created>
  <dcterms:modified xsi:type="dcterms:W3CDTF">2026-04-17T20:39:00Z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0x010100E1E53B662641C24289E3BC0FC531FAF9</vt:lpwstr>
  </property>
</Properties>
</file>